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hAnsi="宋体" w:eastAsia="楷体_GB2312" w:cs="楷体_GB2312"/>
          <w:sz w:val="28"/>
          <w:szCs w:val="28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2016年度学校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受捐赠财产的使用与管理情况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2016年学院收到小提琴教育基金捐赠款20万元，雅马哈乐器音响投资公司捐赠款5万元，共计25万元。主要用于学生参加捷克音乐节、新加坡国际艺术周等活动经费、光亚小提琴比赛应邀专家差旅费、16年雅马哈奖学金评审费，雅马哈比赛相关经费及雅马哈学生奖学金发放等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计划财务处</w:t>
      </w:r>
    </w:p>
    <w:p>
      <w:pPr>
        <w:wordWrap w:val="0"/>
        <w:ind w:firstLine="640" w:firstLineChars="20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